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8810" w14:textId="58CCACA8" w:rsidR="00E019A6" w:rsidRDefault="00E019A6" w:rsidP="00E019A6">
      <w:pPr>
        <w:jc w:val="right"/>
        <w:rPr>
          <w:b/>
          <w:sz w:val="28"/>
          <w:szCs w:val="28"/>
        </w:rPr>
      </w:pPr>
      <w:r>
        <w:rPr>
          <w:b/>
          <w:sz w:val="28"/>
          <w:szCs w:val="28"/>
        </w:rPr>
        <w:t>Приложение 1</w:t>
      </w:r>
    </w:p>
    <w:p w14:paraId="0450A6BD" w14:textId="77777777" w:rsidR="00E019A6" w:rsidRDefault="00E019A6" w:rsidP="007C608C">
      <w:pPr>
        <w:jc w:val="center"/>
        <w:rPr>
          <w:b/>
          <w:sz w:val="28"/>
          <w:szCs w:val="28"/>
        </w:rPr>
      </w:pPr>
    </w:p>
    <w:p w14:paraId="75731893" w14:textId="1B7C22D3" w:rsidR="00CB1D74" w:rsidRPr="00BA2306" w:rsidRDefault="00E019A6" w:rsidP="00BA2306">
      <w:pPr>
        <w:autoSpaceDE w:val="0"/>
        <w:autoSpaceDN w:val="0"/>
        <w:adjustRightInd w:val="0"/>
        <w:ind w:firstLine="827"/>
        <w:jc w:val="center"/>
        <w:rPr>
          <w:rFonts w:eastAsiaTheme="minorHAnsi"/>
          <w:b/>
          <w:bCs/>
          <w:sz w:val="28"/>
          <w:szCs w:val="28"/>
          <w:lang w:eastAsia="en-US"/>
        </w:rPr>
      </w:pPr>
      <w:r w:rsidRPr="00BA2306">
        <w:rPr>
          <w:rFonts w:eastAsiaTheme="minorHAnsi"/>
          <w:b/>
          <w:bCs/>
          <w:sz w:val="28"/>
          <w:szCs w:val="28"/>
          <w:lang w:eastAsia="en-US"/>
        </w:rPr>
        <w:t>Замечания и п</w:t>
      </w:r>
      <w:r w:rsidR="007C608C" w:rsidRPr="00BA2306">
        <w:rPr>
          <w:rFonts w:eastAsiaTheme="minorHAnsi"/>
          <w:b/>
          <w:bCs/>
          <w:sz w:val="28"/>
          <w:szCs w:val="28"/>
          <w:lang w:eastAsia="en-US"/>
        </w:rPr>
        <w:t>редложени</w:t>
      </w:r>
      <w:r w:rsidRPr="00BA2306">
        <w:rPr>
          <w:rFonts w:eastAsiaTheme="minorHAnsi"/>
          <w:b/>
          <w:bCs/>
          <w:sz w:val="28"/>
          <w:szCs w:val="28"/>
          <w:lang w:eastAsia="en-US"/>
        </w:rPr>
        <w:t>я ОЮЛ «Национальная телекоммуникационная ассоциация Казахстана» (НТА)</w:t>
      </w:r>
    </w:p>
    <w:p w14:paraId="23D4D65E" w14:textId="77BF3A5A" w:rsidR="00BA2306" w:rsidRPr="00BA2306" w:rsidRDefault="00E019A6" w:rsidP="00BA2306">
      <w:pPr>
        <w:autoSpaceDE w:val="0"/>
        <w:autoSpaceDN w:val="0"/>
        <w:adjustRightInd w:val="0"/>
        <w:ind w:firstLine="827"/>
        <w:jc w:val="center"/>
        <w:rPr>
          <w:rFonts w:eastAsiaTheme="minorHAnsi"/>
          <w:b/>
          <w:bCs/>
          <w:sz w:val="28"/>
          <w:szCs w:val="28"/>
          <w:lang w:eastAsia="en-US"/>
        </w:rPr>
      </w:pPr>
      <w:r w:rsidRPr="00BA2306">
        <w:rPr>
          <w:rFonts w:eastAsiaTheme="minorHAnsi"/>
          <w:b/>
          <w:bCs/>
          <w:sz w:val="28"/>
          <w:szCs w:val="28"/>
          <w:lang w:eastAsia="en-US"/>
        </w:rPr>
        <w:t xml:space="preserve">по </w:t>
      </w:r>
      <w:r w:rsidR="007C608C" w:rsidRPr="00BA2306">
        <w:rPr>
          <w:rFonts w:eastAsiaTheme="minorHAnsi"/>
          <w:b/>
          <w:bCs/>
          <w:sz w:val="28"/>
          <w:szCs w:val="28"/>
          <w:lang w:eastAsia="en-US"/>
        </w:rPr>
        <w:t>проект</w:t>
      </w:r>
      <w:r w:rsidRPr="00BA2306">
        <w:rPr>
          <w:rFonts w:eastAsiaTheme="minorHAnsi"/>
          <w:b/>
          <w:bCs/>
          <w:sz w:val="28"/>
          <w:szCs w:val="28"/>
          <w:lang w:eastAsia="en-US"/>
        </w:rPr>
        <w:t>у</w:t>
      </w:r>
      <w:r w:rsidR="007C608C" w:rsidRPr="00BA2306">
        <w:rPr>
          <w:rFonts w:eastAsiaTheme="minorHAnsi"/>
          <w:b/>
          <w:bCs/>
          <w:sz w:val="28"/>
          <w:szCs w:val="28"/>
          <w:lang w:eastAsia="en-US"/>
        </w:rPr>
        <w:t xml:space="preserve"> </w:t>
      </w:r>
      <w:r w:rsidR="00BA2306" w:rsidRPr="00BA2306">
        <w:rPr>
          <w:rFonts w:eastAsiaTheme="minorHAnsi"/>
          <w:b/>
          <w:bCs/>
          <w:sz w:val="28"/>
          <w:szCs w:val="28"/>
          <w:lang w:eastAsia="en-US"/>
        </w:rPr>
        <w:t>Концепции развития</w:t>
      </w:r>
    </w:p>
    <w:p w14:paraId="37309244" w14:textId="77777777" w:rsidR="00BA2306" w:rsidRPr="00BA2306" w:rsidRDefault="00BA2306" w:rsidP="00BA2306">
      <w:pPr>
        <w:autoSpaceDE w:val="0"/>
        <w:autoSpaceDN w:val="0"/>
        <w:adjustRightInd w:val="0"/>
        <w:ind w:firstLine="827"/>
        <w:jc w:val="center"/>
        <w:rPr>
          <w:rFonts w:eastAsiaTheme="minorHAnsi"/>
          <w:b/>
          <w:bCs/>
          <w:sz w:val="28"/>
          <w:szCs w:val="28"/>
          <w:lang w:eastAsia="en-US"/>
        </w:rPr>
      </w:pPr>
      <w:r w:rsidRPr="00BA2306">
        <w:rPr>
          <w:rFonts w:eastAsiaTheme="minorHAnsi"/>
          <w:b/>
          <w:bCs/>
          <w:sz w:val="28"/>
          <w:szCs w:val="28"/>
          <w:lang w:eastAsia="en-US"/>
        </w:rPr>
        <w:t>сферы интеллектуальной собственности в Республике Казахстан</w:t>
      </w:r>
    </w:p>
    <w:p w14:paraId="5D68046E" w14:textId="24694DFA" w:rsidR="00BA2306" w:rsidRPr="00BA2306" w:rsidRDefault="00BA2306" w:rsidP="00BA2306">
      <w:pPr>
        <w:autoSpaceDE w:val="0"/>
        <w:autoSpaceDN w:val="0"/>
        <w:adjustRightInd w:val="0"/>
        <w:ind w:firstLine="827"/>
        <w:jc w:val="center"/>
        <w:rPr>
          <w:rFonts w:eastAsiaTheme="minorHAnsi"/>
          <w:b/>
          <w:bCs/>
          <w:sz w:val="28"/>
          <w:szCs w:val="28"/>
          <w:lang w:eastAsia="en-US"/>
        </w:rPr>
      </w:pPr>
      <w:r w:rsidRPr="00BA2306">
        <w:rPr>
          <w:rFonts w:eastAsiaTheme="minorHAnsi"/>
          <w:b/>
          <w:bCs/>
          <w:sz w:val="28"/>
          <w:szCs w:val="28"/>
          <w:lang w:eastAsia="en-US"/>
        </w:rPr>
        <w:t>на период 2021 по 2025 годы</w:t>
      </w:r>
      <w:r>
        <w:rPr>
          <w:rFonts w:eastAsiaTheme="minorHAnsi"/>
          <w:b/>
          <w:bCs/>
          <w:sz w:val="28"/>
          <w:szCs w:val="28"/>
          <w:lang w:eastAsia="en-US"/>
        </w:rPr>
        <w:t xml:space="preserve"> (Проект)</w:t>
      </w:r>
    </w:p>
    <w:p w14:paraId="72743D17" w14:textId="7A7EE5F8" w:rsidR="00B47837" w:rsidRPr="007C608C" w:rsidRDefault="00B47837" w:rsidP="007C608C">
      <w:pPr>
        <w:jc w:val="center"/>
        <w:rPr>
          <w:b/>
          <w:sz w:val="28"/>
          <w:szCs w:val="28"/>
        </w:rPr>
      </w:pPr>
    </w:p>
    <w:p w14:paraId="628C91DD" w14:textId="77777777" w:rsidR="007C608C" w:rsidRDefault="007C608C" w:rsidP="00BE5DC5">
      <w:pPr>
        <w:autoSpaceDE w:val="0"/>
        <w:autoSpaceDN w:val="0"/>
        <w:adjustRightInd w:val="0"/>
        <w:ind w:firstLine="827"/>
        <w:jc w:val="both"/>
        <w:rPr>
          <w:rFonts w:eastAsiaTheme="minorHAnsi"/>
          <w:sz w:val="28"/>
          <w:szCs w:val="28"/>
          <w:lang w:eastAsia="en-US"/>
        </w:rPr>
      </w:pPr>
    </w:p>
    <w:p w14:paraId="77177744" w14:textId="08FF171B" w:rsidR="003C7791" w:rsidRDefault="00BA2306">
      <w:r>
        <w:tab/>
        <w:t>НТА считает необходимым учесть в Проекте следующие моменты:</w:t>
      </w:r>
    </w:p>
    <w:p w14:paraId="3D261BC9" w14:textId="4DC1E1CD" w:rsidR="00BA2306" w:rsidRDefault="00BA2306" w:rsidP="00BA2306">
      <w:pPr>
        <w:pStyle w:val="a6"/>
        <w:numPr>
          <w:ilvl w:val="0"/>
          <w:numId w:val="2"/>
        </w:numPr>
        <w:jc w:val="both"/>
      </w:pPr>
      <w:r>
        <w:t>В главе 2 где идет констатация факта о наличии системных проблем считаем необходимо указать примеры. Один из них применительно к нашей специфики указан ниже</w:t>
      </w:r>
      <w:r w:rsidR="00BC658E">
        <w:t xml:space="preserve"> и считаем необходимо включить его в концепцию</w:t>
      </w:r>
      <w:r>
        <w:t>:</w:t>
      </w:r>
    </w:p>
    <w:p w14:paraId="5FE8A994" w14:textId="26338616" w:rsidR="00BA2306" w:rsidRDefault="00BA2306" w:rsidP="006E1CC8">
      <w:pPr>
        <w:jc w:val="both"/>
      </w:pPr>
      <w:r>
        <w:t xml:space="preserve"> -</w:t>
      </w:r>
      <w:r w:rsidR="00BC658E">
        <w:t xml:space="preserve"> </w:t>
      </w:r>
      <w:r w:rsidRPr="00BA2306">
        <w:t>Постановлением Правительства Республики Казахстан от 20 октября 2004 года за № 1083 установлены минимальные ставки авторского вознаграждения за воспроизведение аудиовизуальных произведений</w:t>
      </w:r>
      <w:r>
        <w:t xml:space="preserve"> </w:t>
      </w:r>
      <w:r w:rsidRPr="00BA2306">
        <w:t>в личных целях без согласия автора. В него были внесены изменения в части увеличения ставок вознаграждения Постановлением Правительства Республики Казахстан от 26 июня 2019 года № 445 «О внесении изменений и дополнений в некоторые решения Правительства Республики Казахстан». Так, ставка вознаграждения за воспроизведение аудиовизуальных произведений в личных целях без согласия автора, подлежащее уплате лицами, импортирующими оборудование и материальные носители, используемые для такого воспроизведения составляет теперь 0,35 от таможенной стоимости единицы оборудования и материальных носителей</w:t>
      </w:r>
      <w:r>
        <w:t xml:space="preserve">. </w:t>
      </w:r>
      <w:r w:rsidRPr="00BA2306">
        <w:t xml:space="preserve">Следует, отметить что под данный платеж подпадает все электронное оборудование ввозимое в Республику Казахстан, независимо от того кому оно продано и будет или нет оно использовано для воспроизведения аудио-визуальных произведений в личных целях. Принятые подзаконные акты существенно расширяют рамки, установленные законом в ущерб предпринимательскому сообществу. </w:t>
      </w:r>
      <w:r>
        <w:t xml:space="preserve"> </w:t>
      </w:r>
      <w:r w:rsidRPr="00BA2306">
        <w:t>Внедрение данного платежа затронет всех граждан Республики Казахстан и все группы бизнеса, повлечет увеличение финансовой нагрузки на импортеров и производителей и, одновременно, рост стоимости для конечных потребителей на такие группы товаров как мобильные телефоны, телевизоры, персональные компьютеры (включая портативные), аудио-видео технику и другие подобные товары использующиеся в повседневном быту и бизнес активности всех без исключения групп населения Республики Казахстан. Импортеры являются крупными налогоплательщиками.  Взимание обязательного платежа в пользу частной организации  приведет к уменьшению налогооблагаемой базы и снижению доходов республиканского бюджета.</w:t>
      </w:r>
      <w:r>
        <w:t xml:space="preserve"> </w:t>
      </w:r>
      <w:r w:rsidRPr="00BA2306">
        <w:t>Кроме того, Постановлением предусмотрено использование таможенной стоимости как базиса для исчисления авторского вознаграждения. Вместе с тем, таможенная стоимость применяется лишь для исчисления таможенных платежей и не имеет никакого отношения к авторскому и смежным правам и взиманию вознаграждения за воспроизведение аудиовизуального произведения или звукозаписи произведения в личных целях и без получения дохода.</w:t>
      </w:r>
      <w:r w:rsidR="006E1CC8">
        <w:t xml:space="preserve"> </w:t>
      </w:r>
      <w:r w:rsidRPr="00BA2306">
        <w:t>Взимание такого вознаграждения возлагается на организации коллективного управления имущественными правами (ОКУП).</w:t>
      </w:r>
      <w:r>
        <w:t xml:space="preserve"> </w:t>
      </w:r>
      <w:r w:rsidRPr="00BA2306">
        <w:t>Согласно пункту 2 статьи 10 Предпринимательского кодекса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r>
        <w:t xml:space="preserve"> </w:t>
      </w:r>
      <w:r w:rsidRPr="00BA2306">
        <w:t xml:space="preserve">Следует отметить крайне непрозрачную схему определения таких организаций управляющей имущественными правами на коллективной основе в пользу которой должны взиматься платежи, процедуру заключения контракта с указанной организацией, а также механизм определения размера и сроков уплаты платежей в данном контракте. Механизм распределения денег, взимаемых с импортеров и производителей также совершено непрозрачен. Например, в законодательстве не </w:t>
      </w:r>
      <w:r w:rsidRPr="00BA2306">
        <w:lastRenderedPageBreak/>
        <w:t>определено сколько данное ОЮЛ будет оставлять себе, кто будет конечным бенефициаром получателем денежных средств и каков механизм контроля за деятельностью подобных организаций. Осуществление платежей на миллиардные суммы в пользу организации, которая была определена на непрозрачной основе не будет принята акционерами, партнерами и регуляторами в иностранных юрисдикциях и создает серьезные финансовые, юридические и репутационные риски для всех плательщиков вознаграждения быть вовлеченными в коррупционную схему.</w:t>
      </w:r>
      <w:r w:rsidR="00BC658E">
        <w:t xml:space="preserve"> </w:t>
      </w:r>
      <w:r w:rsidRPr="00BA2306">
        <w:t>Очевидны и репутационные риски для Республики Казахстан с точки зрения инвестиционного климата и защиты бизнеса. В этой связи, предлагается внести изменения в Закон РК «Об авторском праве и смежных правах» и закрепить этом в Плане мероприятий по реализации Концепции развития сферы ИС в Республике Казахстан на период 2021 по 2025 годы.</w:t>
      </w:r>
    </w:p>
    <w:p w14:paraId="7FB62FD4" w14:textId="0B55CC9C" w:rsidR="00BC658E" w:rsidRDefault="00BC658E" w:rsidP="00BA2306">
      <w:pPr>
        <w:ind w:left="360"/>
        <w:jc w:val="both"/>
      </w:pPr>
    </w:p>
    <w:p w14:paraId="7597220F" w14:textId="7B0B6AB3" w:rsidR="00BC658E" w:rsidRDefault="00BC658E" w:rsidP="00BC658E">
      <w:pPr>
        <w:pStyle w:val="a6"/>
        <w:numPr>
          <w:ilvl w:val="0"/>
          <w:numId w:val="2"/>
        </w:numPr>
        <w:jc w:val="both"/>
      </w:pPr>
      <w:r>
        <w:t>Дополнить Проект параграфом 3.5-1 следующего содержания:</w:t>
      </w:r>
    </w:p>
    <w:p w14:paraId="52CD353B" w14:textId="313AE9FB" w:rsidR="00BC658E" w:rsidRPr="00BC658E" w:rsidRDefault="00BC658E" w:rsidP="006E1CC8">
      <w:pPr>
        <w:jc w:val="both"/>
      </w:pPr>
      <w:r>
        <w:t>«</w:t>
      </w:r>
      <w:r w:rsidRPr="00BC658E">
        <w:t xml:space="preserve">Параграф 3.5.- 1 Программное обеспечение </w:t>
      </w:r>
    </w:p>
    <w:p w14:paraId="257FECA8" w14:textId="77777777" w:rsidR="00BC658E" w:rsidRPr="00BC658E" w:rsidRDefault="00BC658E" w:rsidP="006E1CC8">
      <w:pPr>
        <w:jc w:val="both"/>
      </w:pPr>
      <w:r w:rsidRPr="00BC658E">
        <w:t xml:space="preserve">В действующем Налоговом кодексе Республике Казахстан с 2018 года дано определение роялти как платежа за предоставление права использования авторского права на программное обеспечение, то есть «узкого» определения понятия «роялти». Проект Закона Республики Казахстан «О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 2020 года содержит изменения в Налоговый кодекс в части термина «роялти», которое включает в том числе и платеж за предоставление права использования программного обеспечения. </w:t>
      </w:r>
    </w:p>
    <w:p w14:paraId="37A6A2CD" w14:textId="77777777" w:rsidR="00BC658E" w:rsidRPr="00BC658E" w:rsidRDefault="00BC658E" w:rsidP="006E1CC8">
      <w:pPr>
        <w:jc w:val="both"/>
      </w:pPr>
      <w:r w:rsidRPr="00BC658E">
        <w:t>Также на практике наблюдается толкование более «широкого» толкование понятия роялти, включающего в себя:</w:t>
      </w:r>
    </w:p>
    <w:p w14:paraId="0EC06E0A" w14:textId="77777777" w:rsidR="00BC658E" w:rsidRPr="00BC658E" w:rsidRDefault="00BC658E" w:rsidP="00BC658E">
      <w:pPr>
        <w:ind w:left="360"/>
        <w:jc w:val="both"/>
      </w:pPr>
      <w:r w:rsidRPr="00BC658E">
        <w:t>1)</w:t>
      </w:r>
      <w:r w:rsidRPr="00BC658E">
        <w:tab/>
        <w:t xml:space="preserve">платеж за предоставление права использования авторского права на программное обеспечение </w:t>
      </w:r>
    </w:p>
    <w:p w14:paraId="074A27C3" w14:textId="77777777" w:rsidR="00BC658E" w:rsidRPr="00BC658E" w:rsidRDefault="00BC658E" w:rsidP="00BC658E">
      <w:pPr>
        <w:ind w:left="360"/>
        <w:jc w:val="both"/>
      </w:pPr>
      <w:r w:rsidRPr="00BC658E">
        <w:t>2)</w:t>
      </w:r>
      <w:r w:rsidRPr="00BC658E">
        <w:tab/>
        <w:t xml:space="preserve">платеж за предоставление права использования программного обеспечения, что не соответствует нормам действующего Налогового Кодекса Республики Казахстан, а также большинству Налоговых конвенций, заключенных Республикой Казахстан с другими государствами. </w:t>
      </w:r>
    </w:p>
    <w:p w14:paraId="42E42B2C" w14:textId="77777777" w:rsidR="00BC658E" w:rsidRPr="00BC658E" w:rsidRDefault="00BC658E" w:rsidP="006E1CC8">
      <w:pPr>
        <w:jc w:val="both"/>
      </w:pPr>
      <w:r w:rsidRPr="00BC658E">
        <w:t>Применение «широкого» толкования термина «роялти» препятствует притоку в страну высоких технологий, иностранных и отечественных инвестиций в основные фонды (высокоэффективных машин и оборудований), препятствует реализации Государственной программы «Цифровой Казахстан», основными целями которой является ускорение темпов развития экономики Республики Казахстан и улучшение качества жизни населения, а также создание условий для перехода экономики на принципиально-новую траекторию – цифровую экономику будущего, о чем свидетельствуют показатели и рейтинг Республики Казахстан в Глобальном индексе инноваций.</w:t>
      </w:r>
    </w:p>
    <w:p w14:paraId="46590DD4" w14:textId="77777777" w:rsidR="00BC658E" w:rsidRPr="00BC658E" w:rsidRDefault="00BC658E" w:rsidP="006E1CC8">
      <w:pPr>
        <w:jc w:val="both"/>
      </w:pPr>
      <w:r w:rsidRPr="00BC658E">
        <w:t xml:space="preserve">Приток высоких технологий играет одну из основных ролей в их способности конкурировать в глобальной экономике, сокращая технологический разрыв с показателями из развитых стран. </w:t>
      </w:r>
    </w:p>
    <w:p w14:paraId="6174457F" w14:textId="77777777" w:rsidR="00BC658E" w:rsidRPr="00BC658E" w:rsidRDefault="00BC658E" w:rsidP="006E1CC8">
      <w:pPr>
        <w:jc w:val="both"/>
      </w:pPr>
      <w:r w:rsidRPr="00BC658E">
        <w:t xml:space="preserve">Большинство стран мира в целях конкуренции с другими странами за приток инвестиций, инноваций и высоких технологий в экономику страны нацелено на предоставления более выгодных налоговых стимулов. Так, например, в целях исключения налоговых барьеров большинство стран мира «узко» определяет термин «роялти» как платежа только за использование или предоставление права использования авторского права на программное обеспечение. Данное определение термина роялти направлено на стимулирование притока в страну инвестиций и новых технологий. </w:t>
      </w:r>
    </w:p>
    <w:p w14:paraId="449AFDEA" w14:textId="77777777" w:rsidR="00BC658E" w:rsidRPr="00BC658E" w:rsidRDefault="00BC658E" w:rsidP="006E1CC8">
      <w:pPr>
        <w:jc w:val="both"/>
      </w:pPr>
      <w:r w:rsidRPr="00BC658E">
        <w:t xml:space="preserve">Дополнительно, на основании анализа Налоговых конвенций, заключенных Республикой Казахстан, следует, что в 53 Налоговых конвенциях приводится «узкое» определение термина роялти, и только в 2 Налоговых конвенциях дается «широкое» определение. </w:t>
      </w:r>
    </w:p>
    <w:p w14:paraId="090BDF9D" w14:textId="77777777" w:rsidR="00BC658E" w:rsidRPr="00BC658E" w:rsidRDefault="00BC658E" w:rsidP="006E1CC8">
      <w:pPr>
        <w:jc w:val="both"/>
      </w:pPr>
      <w:r w:rsidRPr="00BC658E">
        <w:lastRenderedPageBreak/>
        <w:t xml:space="preserve">Расширительное толкование налоговыми органами термина «роялти» приводит к значительному удорожанию импортируемых в Республику Казахстан высоких технологий, высокоэффективных машин и оборудований, что в свою очередь влечет за собой повышение стоимости реализованных товаров, работ и услуг и снижению конкурентоспособности казахстанской экономики в целом. </w:t>
      </w:r>
    </w:p>
    <w:p w14:paraId="278E4934" w14:textId="06F6F615" w:rsidR="00BC658E" w:rsidRDefault="00BC658E" w:rsidP="006E1CC8">
      <w:pPr>
        <w:jc w:val="both"/>
      </w:pPr>
      <w:r w:rsidRPr="00BC658E">
        <w:t>В этой связи для устранения имеющихся недостатков налогового законодательства необходимо усовершенствование (уточнение) термина «роялти», что способствует развитию Государственной программы «Цифровой Казахстан», расширению международной торговли, притока высоких технологий и предоставление привлекательной среды для развития высокотехнологичных проектов.</w:t>
      </w:r>
      <w:r>
        <w:t>»</w:t>
      </w:r>
    </w:p>
    <w:p w14:paraId="4B4B45A4" w14:textId="77777777" w:rsidR="00BC658E" w:rsidRDefault="00BC658E" w:rsidP="00BC658E">
      <w:pPr>
        <w:ind w:left="360"/>
        <w:jc w:val="both"/>
      </w:pPr>
    </w:p>
    <w:p w14:paraId="2276CCF7" w14:textId="01AF3323" w:rsidR="00BC658E" w:rsidRDefault="00BC658E" w:rsidP="00BC658E">
      <w:pPr>
        <w:pStyle w:val="a6"/>
        <w:numPr>
          <w:ilvl w:val="0"/>
          <w:numId w:val="2"/>
        </w:numPr>
        <w:jc w:val="both"/>
      </w:pPr>
      <w:r>
        <w:t>В Плане мероприятий предусмотреть п.37.1 следующего содержания:</w:t>
      </w:r>
    </w:p>
    <w:tbl>
      <w:tblPr>
        <w:tblW w:w="5250"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749"/>
        <w:gridCol w:w="2583"/>
        <w:gridCol w:w="1679"/>
        <w:gridCol w:w="1291"/>
      </w:tblGrid>
      <w:tr w:rsidR="00BC658E" w14:paraId="0D538757" w14:textId="77777777" w:rsidTr="00BC658E">
        <w:tc>
          <w:tcPr>
            <w:tcW w:w="2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F75DCF" w14:textId="77777777" w:rsidR="00BC658E" w:rsidRDefault="00BC658E">
            <w:pPr>
              <w:jc w:val="center"/>
              <w:rPr>
                <w:rFonts w:eastAsia="Calibri"/>
                <w:color w:val="auto"/>
              </w:rPr>
            </w:pPr>
            <w:r>
              <w:rPr>
                <w:rFonts w:eastAsia="Calibri"/>
              </w:rPr>
              <w:t xml:space="preserve">37.1. </w:t>
            </w:r>
          </w:p>
        </w:tc>
        <w:tc>
          <w:tcPr>
            <w:tcW w:w="19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D6A33F" w14:textId="77777777" w:rsidR="00BC658E" w:rsidRDefault="00BC658E">
            <w:pPr>
              <w:ind w:right="125"/>
              <w:jc w:val="both"/>
              <w:rPr>
                <w:rFonts w:eastAsia="Calibri"/>
              </w:rPr>
            </w:pPr>
            <w:r>
              <w:rPr>
                <w:rFonts w:eastAsia="Calibri"/>
              </w:rPr>
              <w:t>Внесение изменений и дополнений в Закон РК «Об авторском прав и смежных правах» по вопросу взимания</w:t>
            </w:r>
            <w:r>
              <w:t xml:space="preserve"> вознаграждения за воспроизведение аудиовизуального произведения или звукозаписи произведения в личных целях и без получения дохода</w:t>
            </w:r>
          </w:p>
        </w:tc>
        <w:tc>
          <w:tcPr>
            <w:tcW w:w="1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16195" w14:textId="77777777" w:rsidR="00BC658E" w:rsidRDefault="00BC658E">
            <w:pPr>
              <w:ind w:right="125"/>
              <w:jc w:val="both"/>
              <w:rPr>
                <w:rFonts w:eastAsia="Calibri"/>
              </w:rPr>
            </w:pPr>
            <w:r>
              <w:rPr>
                <w:rFonts w:eastAsia="Calibri"/>
              </w:rPr>
              <w:t>Проект изменений и дополнений в Закон РК «Об авторском прав и смежных правах»:</w:t>
            </w:r>
          </w:p>
          <w:p w14:paraId="1C4965BA" w14:textId="5208E67E" w:rsidR="00BC658E" w:rsidRDefault="00BC658E">
            <w:pPr>
              <w:ind w:right="125"/>
              <w:jc w:val="both"/>
              <w:rPr>
                <w:rFonts w:eastAsia="Calibri"/>
              </w:rPr>
            </w:pPr>
            <w:r>
              <w:rPr>
                <w:rFonts w:eastAsia="Calibri"/>
              </w:rPr>
              <w:t>Статья 26, п. 6 изложить в следующей редакции:</w:t>
            </w:r>
          </w:p>
          <w:p w14:paraId="46D046D1" w14:textId="77777777" w:rsidR="00BC658E" w:rsidRDefault="00BC658E">
            <w:pPr>
              <w:ind w:right="125"/>
              <w:jc w:val="both"/>
              <w:rPr>
                <w:rFonts w:eastAsiaTheme="minorHAnsi"/>
              </w:rPr>
            </w:pPr>
            <w:r>
              <w:rPr>
                <w:rFonts w:eastAsia="Calibri"/>
              </w:rPr>
              <w:t>6. Вознаграждение</w:t>
            </w:r>
            <w:r>
              <w:t xml:space="preserve"> не выплачивается применительно к оборудованию и материальным носителям, указанным в </w:t>
            </w:r>
            <w:hyperlink r:id="rId5" w:anchor="sub_id=260200" w:history="1">
              <w:r>
                <w:rPr>
                  <w:rStyle w:val="a7"/>
                  <w:color w:val="000080"/>
                </w:rPr>
                <w:t>пункте 2</w:t>
              </w:r>
            </w:hyperlink>
            <w:r>
              <w:t xml:space="preserve"> настоящей статьи, которые являются предметом экспорта </w:t>
            </w:r>
            <w:r>
              <w:rPr>
                <w:b/>
              </w:rPr>
              <w:t>или прямых продаж для  использования по  функциональному назначению (для конечного потребления),</w:t>
            </w:r>
            <w:r>
              <w:t xml:space="preserve"> а также к профессиональному оборудованию, не предназначенному для использования в домашних условиях.</w:t>
            </w:r>
          </w:p>
        </w:tc>
        <w:tc>
          <w:tcPr>
            <w:tcW w:w="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39AD3F" w14:textId="77777777" w:rsidR="00BC658E" w:rsidRDefault="00BC658E">
            <w:pPr>
              <w:ind w:left="101"/>
              <w:rPr>
                <w:rFonts w:eastAsia="Calibri"/>
                <w:color w:val="auto"/>
              </w:rPr>
            </w:pPr>
            <w:r>
              <w:rPr>
                <w:rFonts w:eastAsia="Calibri"/>
              </w:rPr>
              <w:t>МЮ</w:t>
            </w:r>
          </w:p>
        </w:tc>
        <w:tc>
          <w:tcPr>
            <w:tcW w:w="65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B82441" w14:textId="77777777" w:rsidR="00BC658E" w:rsidRDefault="00BC658E">
            <w:pPr>
              <w:rPr>
                <w:rFonts w:eastAsia="Calibri"/>
              </w:rPr>
            </w:pPr>
            <w:r>
              <w:rPr>
                <w:rFonts w:eastAsia="Calibri"/>
              </w:rPr>
              <w:t>2021 год</w:t>
            </w:r>
          </w:p>
        </w:tc>
      </w:tr>
    </w:tbl>
    <w:p w14:paraId="2B962DC9" w14:textId="3A7F5321" w:rsidR="00BC658E" w:rsidRPr="00BC658E" w:rsidRDefault="00BC658E" w:rsidP="00BC658E">
      <w:pPr>
        <w:ind w:left="360"/>
        <w:jc w:val="both"/>
      </w:pPr>
    </w:p>
    <w:p w14:paraId="409EC0D3" w14:textId="77777777" w:rsidR="00BC658E" w:rsidRPr="00BA2306" w:rsidRDefault="00BC658E" w:rsidP="00BC658E">
      <w:pPr>
        <w:ind w:left="360"/>
        <w:jc w:val="both"/>
      </w:pPr>
    </w:p>
    <w:p w14:paraId="15B3C656" w14:textId="146A24D8" w:rsidR="00BA2306" w:rsidRDefault="000F3CE5" w:rsidP="000F3CE5">
      <w:pPr>
        <w:pStyle w:val="a6"/>
        <w:numPr>
          <w:ilvl w:val="0"/>
          <w:numId w:val="2"/>
        </w:numPr>
        <w:jc w:val="both"/>
      </w:pPr>
      <w:r>
        <w:t>В Проекте необходимо учесть необходимость четко разграничить категории субъектов применительно к сфере тел-радио вещания и связи – распространители (собственники теле-радио каналов) и операторы теле-радио вещания и операторы связи, т.к. они имеют разный правовой статус, обусловленный спецификой использования/неиспользования объектов авторского права и последние два соответственно не могут нести ответственность за контент, формируемый не ими – они предоставляют свои сети для распространения его  – т.е. необходимо заложить четкие принципы концептуального решения вопросов по очистке прав.</w:t>
      </w:r>
    </w:p>
    <w:sectPr w:rsidR="00BA2306" w:rsidSect="007C6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00EBF"/>
    <w:multiLevelType w:val="hybridMultilevel"/>
    <w:tmpl w:val="CE089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D37F57"/>
    <w:multiLevelType w:val="hybridMultilevel"/>
    <w:tmpl w:val="FD64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2F"/>
    <w:rsid w:val="00015A10"/>
    <w:rsid w:val="00034FC0"/>
    <w:rsid w:val="000F3CE5"/>
    <w:rsid w:val="001139D6"/>
    <w:rsid w:val="00115739"/>
    <w:rsid w:val="001870F2"/>
    <w:rsid w:val="00323C57"/>
    <w:rsid w:val="003C7791"/>
    <w:rsid w:val="00477506"/>
    <w:rsid w:val="0049132F"/>
    <w:rsid w:val="00586F0C"/>
    <w:rsid w:val="006E1CC8"/>
    <w:rsid w:val="007C608C"/>
    <w:rsid w:val="008E21C7"/>
    <w:rsid w:val="00AA0E42"/>
    <w:rsid w:val="00B47837"/>
    <w:rsid w:val="00BA2306"/>
    <w:rsid w:val="00BC658E"/>
    <w:rsid w:val="00BE5DC5"/>
    <w:rsid w:val="00C203DB"/>
    <w:rsid w:val="00C3389F"/>
    <w:rsid w:val="00C532E5"/>
    <w:rsid w:val="00CB1D74"/>
    <w:rsid w:val="00CB2294"/>
    <w:rsid w:val="00D17707"/>
    <w:rsid w:val="00D90A60"/>
    <w:rsid w:val="00E019A6"/>
    <w:rsid w:val="00E54924"/>
    <w:rsid w:val="00F3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02CD"/>
  <w15:chartTrackingRefBased/>
  <w15:docId w15:val="{34EC5BF9-7C0C-4F84-B727-0DA02C98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2E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A0E42"/>
    <w:pPr>
      <w:spacing w:before="100" w:beforeAutospacing="1" w:after="100" w:afterAutospacing="1"/>
    </w:pPr>
    <w:rPr>
      <w:color w:val="auto"/>
    </w:rPr>
  </w:style>
  <w:style w:type="paragraph" w:styleId="a5">
    <w:name w:val="No Spacing"/>
    <w:uiPriority w:val="1"/>
    <w:qFormat/>
    <w:rsid w:val="00BA2306"/>
    <w:pPr>
      <w:spacing w:after="0" w:line="240" w:lineRule="auto"/>
    </w:pPr>
    <w:rPr>
      <w:color w:val="44546A" w:themeColor="text2"/>
      <w:sz w:val="20"/>
      <w:szCs w:val="20"/>
      <w:lang w:val="en-US"/>
    </w:rPr>
  </w:style>
  <w:style w:type="paragraph" w:styleId="a6">
    <w:name w:val="List Paragraph"/>
    <w:basedOn w:val="a"/>
    <w:uiPriority w:val="34"/>
    <w:qFormat/>
    <w:rsid w:val="00BA2306"/>
    <w:pPr>
      <w:ind w:left="720"/>
      <w:contextualSpacing/>
    </w:pPr>
  </w:style>
  <w:style w:type="character" w:customStyle="1" w:styleId="s1">
    <w:name w:val="s1"/>
    <w:basedOn w:val="a0"/>
    <w:rsid w:val="00BA2306"/>
  </w:style>
  <w:style w:type="character" w:styleId="a7">
    <w:name w:val="Hyperlink"/>
    <w:basedOn w:val="a0"/>
    <w:uiPriority w:val="99"/>
    <w:semiHidden/>
    <w:unhideWhenUsed/>
    <w:rsid w:val="00BC6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79547">
      <w:bodyDiv w:val="1"/>
      <w:marLeft w:val="0"/>
      <w:marRight w:val="0"/>
      <w:marTop w:val="0"/>
      <w:marBottom w:val="0"/>
      <w:divBdr>
        <w:top w:val="none" w:sz="0" w:space="0" w:color="auto"/>
        <w:left w:val="none" w:sz="0" w:space="0" w:color="auto"/>
        <w:bottom w:val="none" w:sz="0" w:space="0" w:color="auto"/>
        <w:right w:val="none" w:sz="0" w:space="0" w:color="auto"/>
      </w:divBdr>
    </w:div>
    <w:div w:id="1521122126">
      <w:bodyDiv w:val="1"/>
      <w:marLeft w:val="0"/>
      <w:marRight w:val="0"/>
      <w:marTop w:val="0"/>
      <w:marBottom w:val="0"/>
      <w:divBdr>
        <w:top w:val="none" w:sz="0" w:space="0" w:color="auto"/>
        <w:left w:val="none" w:sz="0" w:space="0" w:color="auto"/>
        <w:bottom w:val="none" w:sz="0" w:space="0" w:color="auto"/>
        <w:right w:val="none" w:sz="0" w:space="0" w:color="auto"/>
      </w:divBdr>
    </w:div>
    <w:div w:id="1874270411">
      <w:bodyDiv w:val="1"/>
      <w:marLeft w:val="0"/>
      <w:marRight w:val="0"/>
      <w:marTop w:val="0"/>
      <w:marBottom w:val="0"/>
      <w:divBdr>
        <w:top w:val="none" w:sz="0" w:space="0" w:color="auto"/>
        <w:left w:val="none" w:sz="0" w:space="0" w:color="auto"/>
        <w:bottom w:val="none" w:sz="0" w:space="0" w:color="auto"/>
        <w:right w:val="none" w:sz="0" w:space="0" w:color="auto"/>
      </w:divBdr>
    </w:div>
    <w:div w:id="2006325155">
      <w:bodyDiv w:val="1"/>
      <w:marLeft w:val="0"/>
      <w:marRight w:val="0"/>
      <w:marTop w:val="0"/>
      <w:marBottom w:val="0"/>
      <w:divBdr>
        <w:top w:val="none" w:sz="0" w:space="0" w:color="auto"/>
        <w:left w:val="none" w:sz="0" w:space="0" w:color="auto"/>
        <w:bottom w:val="none" w:sz="0" w:space="0" w:color="auto"/>
        <w:right w:val="none" w:sz="0" w:space="0" w:color="auto"/>
      </w:divBdr>
    </w:div>
    <w:div w:id="2109228549">
      <w:bodyDiv w:val="1"/>
      <w:marLeft w:val="0"/>
      <w:marRight w:val="0"/>
      <w:marTop w:val="0"/>
      <w:marBottom w:val="0"/>
      <w:divBdr>
        <w:top w:val="none" w:sz="0" w:space="0" w:color="auto"/>
        <w:left w:val="none" w:sz="0" w:space="0" w:color="auto"/>
        <w:bottom w:val="none" w:sz="0" w:space="0" w:color="auto"/>
        <w:right w:val="none" w:sz="0" w:space="0" w:color="auto"/>
      </w:divBdr>
    </w:div>
    <w:div w:id="21368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zakon.kz/document/?doc_id=10057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Мамиров Миршат</dc:creator>
  <cp:keywords/>
  <dc:description/>
  <cp:lastModifiedBy>Виталий Казанцев</cp:lastModifiedBy>
  <cp:revision>5</cp:revision>
  <dcterms:created xsi:type="dcterms:W3CDTF">2020-12-14T05:41:00Z</dcterms:created>
  <dcterms:modified xsi:type="dcterms:W3CDTF">2020-12-15T04:00:00Z</dcterms:modified>
</cp:coreProperties>
</file>